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1A" w:rsidRDefault="00FF3E1A" w:rsidP="00FF3E1A">
      <w:pPr>
        <w:shd w:val="clear" w:color="auto" w:fill="FFFFFF"/>
        <w:tabs>
          <w:tab w:val="left" w:leader="underscore" w:pos="1795"/>
        </w:tabs>
        <w:suppressAutoHyphens/>
        <w:spacing w:before="149"/>
        <w:rPr>
          <w:b/>
          <w:kern w:val="2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-109220</wp:posOffset>
            </wp:positionV>
            <wp:extent cx="693420" cy="789940"/>
            <wp:effectExtent l="0" t="0" r="0" b="0"/>
            <wp:wrapTight wrapText="bothSides">
              <wp:wrapPolygon edited="0">
                <wp:start x="0" y="0"/>
                <wp:lineTo x="0" y="20836"/>
                <wp:lineTo x="20769" y="20836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3E1A" w:rsidRDefault="00FF3E1A" w:rsidP="00FF3E1A">
      <w:pPr>
        <w:shd w:val="clear" w:color="auto" w:fill="FFFFFF"/>
        <w:tabs>
          <w:tab w:val="left" w:leader="underscore" w:pos="1795"/>
        </w:tabs>
        <w:suppressAutoHyphens/>
        <w:spacing w:before="149"/>
        <w:jc w:val="center"/>
        <w:rPr>
          <w:b/>
          <w:kern w:val="2"/>
          <w:sz w:val="28"/>
          <w:szCs w:val="28"/>
          <w:lang w:eastAsia="ar-SA"/>
        </w:rPr>
      </w:pPr>
    </w:p>
    <w:p w:rsidR="00FF3E1A" w:rsidRDefault="00FF3E1A" w:rsidP="00FF3E1A">
      <w:pPr>
        <w:shd w:val="clear" w:color="auto" w:fill="FFFFFF"/>
        <w:tabs>
          <w:tab w:val="left" w:leader="underscore" w:pos="1795"/>
        </w:tabs>
        <w:suppressAutoHyphens/>
        <w:spacing w:before="149"/>
        <w:jc w:val="center"/>
        <w:rPr>
          <w:b/>
          <w:kern w:val="2"/>
          <w:sz w:val="28"/>
          <w:szCs w:val="28"/>
          <w:lang w:eastAsia="ar-SA"/>
        </w:rPr>
      </w:pPr>
    </w:p>
    <w:p w:rsidR="00FF3E1A" w:rsidRDefault="00FF3E1A" w:rsidP="00823294">
      <w:pPr>
        <w:shd w:val="clear" w:color="auto" w:fill="FFFFFF"/>
        <w:tabs>
          <w:tab w:val="left" w:leader="underscore" w:pos="179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СОВЕТ  ДЕПУТАТОВ </w:t>
      </w:r>
      <w:r w:rsidR="00A9254E">
        <w:rPr>
          <w:b/>
          <w:kern w:val="2"/>
          <w:sz w:val="28"/>
          <w:szCs w:val="28"/>
          <w:lang w:eastAsia="ar-SA"/>
        </w:rPr>
        <w:t>ПРУДКОВСКОГО</w:t>
      </w:r>
      <w:r>
        <w:rPr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FF3E1A" w:rsidRDefault="00FF3E1A" w:rsidP="00FF3E1A">
      <w:pPr>
        <w:shd w:val="clear" w:color="auto" w:fill="FFFFFF"/>
        <w:tabs>
          <w:tab w:val="left" w:leader="underscore" w:pos="179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САФОНОВСКОГО РАЙОНА СМОЛЕНСКОЙ ОБЛАСТИ</w:t>
      </w:r>
    </w:p>
    <w:p w:rsidR="00FF3E1A" w:rsidRDefault="00FF3E1A" w:rsidP="00FF3E1A">
      <w:pPr>
        <w:shd w:val="clear" w:color="auto" w:fill="FFFFFF"/>
        <w:tabs>
          <w:tab w:val="left" w:leader="underscore" w:pos="179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FF3E1A" w:rsidRDefault="00FF3E1A" w:rsidP="00FF3E1A">
      <w:pPr>
        <w:shd w:val="clear" w:color="auto" w:fill="FFFFFF"/>
        <w:tabs>
          <w:tab w:val="left" w:leader="underscore" w:pos="1795"/>
        </w:tabs>
        <w:suppressAutoHyphens/>
        <w:jc w:val="center"/>
        <w:rPr>
          <w:kern w:val="2"/>
          <w:sz w:val="16"/>
          <w:szCs w:val="16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РЕШЕНИЕ</w:t>
      </w:r>
    </w:p>
    <w:p w:rsidR="00FF3E1A" w:rsidRDefault="00FF3E1A" w:rsidP="00FF3E1A">
      <w:pPr>
        <w:shd w:val="clear" w:color="auto" w:fill="FFFFFF"/>
        <w:tabs>
          <w:tab w:val="left" w:leader="underscore" w:pos="1157"/>
          <w:tab w:val="left" w:leader="underscore" w:pos="2573"/>
        </w:tabs>
        <w:suppressAutoHyphens/>
        <w:rPr>
          <w:kern w:val="2"/>
          <w:sz w:val="16"/>
          <w:szCs w:val="16"/>
          <w:lang w:eastAsia="ar-SA"/>
        </w:rPr>
      </w:pPr>
    </w:p>
    <w:p w:rsidR="00FF3E1A" w:rsidRPr="00823294" w:rsidRDefault="00BA14BB" w:rsidP="00FF3E1A">
      <w:pPr>
        <w:shd w:val="clear" w:color="auto" w:fill="FFFFFF"/>
        <w:tabs>
          <w:tab w:val="left" w:leader="underscore" w:pos="1157"/>
          <w:tab w:val="left" w:leader="underscore" w:pos="2573"/>
        </w:tabs>
        <w:suppressAutoHyphens/>
        <w:rPr>
          <w:kern w:val="2"/>
          <w:sz w:val="28"/>
          <w:szCs w:val="28"/>
          <w:u w:val="single"/>
          <w:lang w:eastAsia="ar-SA"/>
        </w:rPr>
      </w:pPr>
      <w:r>
        <w:rPr>
          <w:kern w:val="2"/>
          <w:sz w:val="28"/>
          <w:szCs w:val="28"/>
          <w:u w:val="single"/>
          <w:lang w:eastAsia="ar-SA"/>
        </w:rPr>
        <w:t>от 27</w:t>
      </w:r>
      <w:r w:rsidR="00FF3E1A" w:rsidRPr="00823294">
        <w:rPr>
          <w:kern w:val="2"/>
          <w:sz w:val="28"/>
          <w:szCs w:val="28"/>
          <w:u w:val="single"/>
          <w:lang w:eastAsia="ar-SA"/>
        </w:rPr>
        <w:t>.02.2015</w:t>
      </w:r>
      <w:r w:rsidR="00823294" w:rsidRPr="00823294">
        <w:rPr>
          <w:kern w:val="2"/>
          <w:sz w:val="28"/>
          <w:szCs w:val="28"/>
          <w:u w:val="single"/>
          <w:lang w:eastAsia="ar-SA"/>
        </w:rPr>
        <w:t xml:space="preserve">г.  № </w:t>
      </w:r>
      <w:r w:rsidR="00E07696">
        <w:rPr>
          <w:kern w:val="2"/>
          <w:sz w:val="28"/>
          <w:szCs w:val="28"/>
          <w:u w:val="single"/>
          <w:lang w:eastAsia="ar-SA"/>
        </w:rPr>
        <w:t>1/2</w:t>
      </w:r>
    </w:p>
    <w:p w:rsidR="00C06583" w:rsidRDefault="00C06583" w:rsidP="00FF3E1A">
      <w:pPr>
        <w:rPr>
          <w:sz w:val="28"/>
          <w:szCs w:val="28"/>
        </w:rPr>
      </w:pPr>
    </w:p>
    <w:p w:rsidR="00FF3E1A" w:rsidRDefault="00FF3E1A" w:rsidP="00FF3E1A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присвоения,</w:t>
      </w:r>
    </w:p>
    <w:p w:rsidR="00FF3E1A" w:rsidRDefault="00FF3E1A" w:rsidP="00FF3E1A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изменения и аннулирования адресов на </w:t>
      </w:r>
    </w:p>
    <w:p w:rsidR="00FF3E1A" w:rsidRDefault="00FF3E1A" w:rsidP="00FF3E1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A9254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</w:t>
      </w:r>
    </w:p>
    <w:p w:rsidR="00FF3E1A" w:rsidRDefault="00FF3E1A" w:rsidP="00FF3E1A">
      <w:pPr>
        <w:rPr>
          <w:sz w:val="28"/>
          <w:szCs w:val="28"/>
        </w:rPr>
      </w:pPr>
      <w:r>
        <w:rPr>
          <w:sz w:val="28"/>
          <w:szCs w:val="28"/>
        </w:rPr>
        <w:t>поселения Сафоновского района</w:t>
      </w:r>
    </w:p>
    <w:p w:rsidR="00FF3E1A" w:rsidRDefault="00FF3E1A" w:rsidP="00FF3E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F3E1A" w:rsidRDefault="00FF3E1A" w:rsidP="00FF3E1A">
      <w:pPr>
        <w:rPr>
          <w:sz w:val="28"/>
          <w:szCs w:val="28"/>
        </w:rPr>
      </w:pPr>
    </w:p>
    <w:p w:rsidR="00FF3E1A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 w:rsidR="00A9254E">
        <w:rPr>
          <w:sz w:val="28"/>
          <w:szCs w:val="28"/>
        </w:rPr>
        <w:t>в Р</w:t>
      </w:r>
      <w:r>
        <w:rPr>
          <w:sz w:val="28"/>
          <w:szCs w:val="28"/>
        </w:rPr>
        <w:t xml:space="preserve">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A9254E">
        <w:rPr>
          <w:sz w:val="28"/>
          <w:szCs w:val="28"/>
        </w:rPr>
        <w:t>Прудк</w:t>
      </w:r>
      <w:r>
        <w:rPr>
          <w:sz w:val="28"/>
          <w:szCs w:val="28"/>
        </w:rPr>
        <w:t xml:space="preserve">овского сельского поселения Сафоновского района Смоленской области, Совета депутатов </w:t>
      </w:r>
      <w:r w:rsidR="00A9254E">
        <w:rPr>
          <w:sz w:val="28"/>
          <w:szCs w:val="28"/>
        </w:rPr>
        <w:t>Прудко</w:t>
      </w:r>
      <w:r>
        <w:rPr>
          <w:sz w:val="28"/>
          <w:szCs w:val="28"/>
        </w:rPr>
        <w:t>вского сельского поселения Сафоновского района Смоленской области</w:t>
      </w:r>
    </w:p>
    <w:p w:rsidR="00FF3E1A" w:rsidRDefault="00FF3E1A" w:rsidP="00FF3E1A">
      <w:pPr>
        <w:jc w:val="both"/>
        <w:rPr>
          <w:sz w:val="28"/>
          <w:szCs w:val="28"/>
        </w:rPr>
      </w:pPr>
    </w:p>
    <w:p w:rsidR="00FF3E1A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FF3E1A" w:rsidRDefault="00FF3E1A" w:rsidP="00FF3E1A">
      <w:pPr>
        <w:jc w:val="both"/>
        <w:rPr>
          <w:sz w:val="28"/>
          <w:szCs w:val="28"/>
        </w:rPr>
      </w:pPr>
    </w:p>
    <w:p w:rsidR="00FF3E1A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прилагаемые Правила присвоения, изменения и аннулирования адресов на территории </w:t>
      </w:r>
      <w:r w:rsidR="00A9254E">
        <w:rPr>
          <w:sz w:val="28"/>
          <w:szCs w:val="28"/>
        </w:rPr>
        <w:t>Прудк</w:t>
      </w:r>
      <w:r>
        <w:rPr>
          <w:sz w:val="28"/>
          <w:szCs w:val="28"/>
        </w:rPr>
        <w:t>овского сельского поселения Сафоновского района Смоленской области.</w:t>
      </w:r>
    </w:p>
    <w:p w:rsidR="00FF3E1A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постановление Администрации </w:t>
      </w:r>
      <w:r w:rsidR="00A9254E">
        <w:rPr>
          <w:sz w:val="28"/>
          <w:szCs w:val="28"/>
        </w:rPr>
        <w:t>Прудк</w:t>
      </w:r>
      <w:r>
        <w:rPr>
          <w:sz w:val="28"/>
          <w:szCs w:val="28"/>
        </w:rPr>
        <w:t xml:space="preserve">овского сельского поселения Сафоновского района Смоленской области от </w:t>
      </w:r>
      <w:r w:rsidR="000D5191">
        <w:rPr>
          <w:sz w:val="28"/>
          <w:szCs w:val="28"/>
        </w:rPr>
        <w:t>14.09.2009 № 15</w:t>
      </w:r>
      <w:r>
        <w:rPr>
          <w:sz w:val="28"/>
          <w:szCs w:val="28"/>
        </w:rPr>
        <w:t xml:space="preserve"> «Об утверждении временного положения о порядке присвоения, изменения и упразднения наименований объектов уличной сети, адресации объектов недвижимости, ведения адресного реестра на территории </w:t>
      </w:r>
      <w:r w:rsidR="00A9254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области».</w:t>
      </w:r>
    </w:p>
    <w:p w:rsidR="005B2649" w:rsidRPr="00823294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3.Обнародовать настоящее решение в</w:t>
      </w:r>
      <w:r w:rsidR="00B17295">
        <w:rPr>
          <w:sz w:val="28"/>
          <w:szCs w:val="28"/>
        </w:rPr>
        <w:t xml:space="preserve"> </w:t>
      </w:r>
      <w:r w:rsidR="00823294">
        <w:rPr>
          <w:sz w:val="28"/>
          <w:szCs w:val="28"/>
        </w:rPr>
        <w:t>газете</w:t>
      </w:r>
      <w:r w:rsidR="00B17295">
        <w:rPr>
          <w:sz w:val="28"/>
          <w:szCs w:val="28"/>
        </w:rPr>
        <w:t xml:space="preserve"> </w:t>
      </w:r>
      <w:r w:rsidR="00B17295" w:rsidRPr="00823294">
        <w:rPr>
          <w:sz w:val="28"/>
          <w:szCs w:val="28"/>
        </w:rPr>
        <w:t>«</w:t>
      </w:r>
      <w:r w:rsidR="00823294">
        <w:rPr>
          <w:sz w:val="28"/>
          <w:szCs w:val="28"/>
        </w:rPr>
        <w:t>Сафоновская правда».</w:t>
      </w:r>
    </w:p>
    <w:p w:rsidR="00FF3E1A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исполнением настоящего решения оставляю за собой.</w:t>
      </w:r>
    </w:p>
    <w:p w:rsidR="00FF3E1A" w:rsidRDefault="00FF3E1A" w:rsidP="00FF3E1A">
      <w:pPr>
        <w:jc w:val="both"/>
        <w:rPr>
          <w:sz w:val="28"/>
          <w:szCs w:val="28"/>
        </w:rPr>
      </w:pPr>
    </w:p>
    <w:p w:rsidR="00FF3E1A" w:rsidRDefault="00FF3E1A" w:rsidP="00FF3E1A">
      <w:pPr>
        <w:jc w:val="both"/>
        <w:rPr>
          <w:sz w:val="28"/>
          <w:szCs w:val="28"/>
        </w:rPr>
      </w:pPr>
    </w:p>
    <w:p w:rsidR="00FF3E1A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3E1A" w:rsidRDefault="00A9254E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FF3E1A">
        <w:rPr>
          <w:sz w:val="28"/>
          <w:szCs w:val="28"/>
        </w:rPr>
        <w:t xml:space="preserve"> сельского поселения</w:t>
      </w:r>
    </w:p>
    <w:p w:rsidR="00FF3E1A" w:rsidRDefault="00FF3E1A" w:rsidP="00FF3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</w:t>
      </w:r>
      <w:r w:rsidR="00A9254E">
        <w:rPr>
          <w:sz w:val="28"/>
          <w:szCs w:val="28"/>
        </w:rPr>
        <w:t>Л.Н. Бровкина</w:t>
      </w:r>
    </w:p>
    <w:p w:rsidR="00D1636F" w:rsidRDefault="00D1636F" w:rsidP="00FF3E1A">
      <w:pPr>
        <w:jc w:val="both"/>
        <w:rPr>
          <w:sz w:val="28"/>
          <w:szCs w:val="28"/>
        </w:rPr>
      </w:pPr>
    </w:p>
    <w:p w:rsidR="00823294" w:rsidRDefault="00823294" w:rsidP="00D1636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lastRenderedPageBreak/>
        <w:t>Утверждены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</w:p>
    <w:p w:rsidR="00823294" w:rsidRDefault="00823294" w:rsidP="0082329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Прудковского сельского поселения</w:t>
      </w:r>
    </w:p>
    <w:p w:rsidR="00823294" w:rsidRDefault="00823294" w:rsidP="0082329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Сафоновского района 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Смоленской области</w:t>
      </w:r>
    </w:p>
    <w:p w:rsidR="00823294" w:rsidRPr="00823294" w:rsidRDefault="00BA14BB" w:rsidP="0082329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от 27</w:t>
      </w:r>
      <w:bookmarkStart w:id="0" w:name="_GoBack"/>
      <w:bookmarkEnd w:id="0"/>
      <w:r w:rsidR="00823294" w:rsidRPr="00823294">
        <w:rPr>
          <w:rFonts w:eastAsia="Calibri"/>
          <w:sz w:val="28"/>
          <w:szCs w:val="28"/>
          <w:u w:val="single"/>
          <w:lang w:eastAsia="en-US"/>
        </w:rPr>
        <w:t xml:space="preserve">.02.2015г. № </w:t>
      </w:r>
      <w:r w:rsidR="00E07696">
        <w:rPr>
          <w:rFonts w:eastAsia="Calibri"/>
          <w:sz w:val="28"/>
          <w:szCs w:val="28"/>
          <w:u w:val="single"/>
          <w:lang w:eastAsia="en-US"/>
        </w:rPr>
        <w:t>1/</w:t>
      </w:r>
      <w:r w:rsidR="00823294" w:rsidRPr="00823294">
        <w:rPr>
          <w:rFonts w:eastAsia="Calibri"/>
          <w:sz w:val="28"/>
          <w:szCs w:val="28"/>
          <w:u w:val="single"/>
          <w:lang w:eastAsia="en-US"/>
        </w:rPr>
        <w:t>2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2"/>
      <w:bookmarkEnd w:id="1"/>
      <w:r w:rsidRPr="00823294">
        <w:rPr>
          <w:rFonts w:eastAsia="Calibri"/>
          <w:b/>
          <w:bCs/>
          <w:sz w:val="28"/>
          <w:szCs w:val="28"/>
          <w:lang w:eastAsia="en-US"/>
        </w:rPr>
        <w:t xml:space="preserve">ПРАВИЛА 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3294">
        <w:rPr>
          <w:rFonts w:eastAsia="Calibri"/>
          <w:b/>
          <w:bCs/>
          <w:sz w:val="28"/>
          <w:szCs w:val="28"/>
          <w:lang w:eastAsia="en-US"/>
        </w:rPr>
        <w:t>присвоения, изменения и аннулирования адресов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I. Общие положения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территории </w:t>
      </w:r>
      <w:r>
        <w:rPr>
          <w:rFonts w:eastAsia="Calibri"/>
          <w:sz w:val="28"/>
          <w:szCs w:val="28"/>
          <w:lang w:eastAsia="en-US"/>
        </w:rPr>
        <w:t>Прудковского сельского поселения Сафоновского района Смоленской области</w:t>
      </w:r>
      <w:r w:rsidRPr="00823294">
        <w:rPr>
          <w:rFonts w:eastAsia="Calibri"/>
          <w:sz w:val="28"/>
          <w:szCs w:val="28"/>
          <w:lang w:eastAsia="en-US"/>
        </w:rPr>
        <w:t>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2. 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№ 1221). 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3. 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4. Присвоение, изменение и аннулирование адресов осуществляется без взимания платы.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bookmarkStart w:id="2" w:name="Par48"/>
      <w:bookmarkEnd w:id="2"/>
      <w:r w:rsidRPr="00823294">
        <w:rPr>
          <w:rFonts w:eastAsia="Calibri"/>
          <w:sz w:val="28"/>
          <w:szCs w:val="28"/>
          <w:lang w:eastAsia="en-US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>
        <w:rPr>
          <w:rFonts w:eastAsia="Calibri"/>
          <w:sz w:val="28"/>
          <w:szCs w:val="28"/>
          <w:lang w:eastAsia="en-US"/>
        </w:rPr>
        <w:t>Прудковского сельского поселения Сафоновского района Смоленской области.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II. Порядок присвоения объекту адресации адреса, изменения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и аннулирования такого адреса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6. Присвоение объекту адресации адреса, изменение и аннулирование такого адреса в соответствии с Уставом </w:t>
      </w:r>
      <w:r>
        <w:rPr>
          <w:rFonts w:eastAsia="Calibri"/>
          <w:sz w:val="28"/>
          <w:szCs w:val="28"/>
          <w:lang w:eastAsia="en-US"/>
        </w:rPr>
        <w:t>Прудковского сельского поселения Сафоновского района Смоленской области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823294">
        <w:rPr>
          <w:rFonts w:eastAsia="Calibri"/>
          <w:sz w:val="28"/>
          <w:szCs w:val="28"/>
          <w:lang w:eastAsia="en-US"/>
        </w:rPr>
        <w:t>(далее – Устав) осуществляется Администрацией</w:t>
      </w:r>
      <w:r>
        <w:rPr>
          <w:rFonts w:eastAsia="Calibri"/>
          <w:sz w:val="28"/>
          <w:szCs w:val="28"/>
          <w:lang w:eastAsia="en-US"/>
        </w:rPr>
        <w:t xml:space="preserve"> Прудковского сельского поселения Сафоновского района Смоленской области </w:t>
      </w:r>
      <w:r w:rsidRPr="00823294">
        <w:rPr>
          <w:rFonts w:eastAsia="Calibri"/>
          <w:sz w:val="28"/>
          <w:szCs w:val="28"/>
          <w:lang w:eastAsia="en-US"/>
        </w:rPr>
        <w:t>(далее – Администрация) с использованием федеральной информационной адресной системы.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history="1">
        <w:r w:rsidRPr="00823294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и </w:t>
      </w:r>
      <w:hyperlink w:anchor="Par114" w:history="1">
        <w:r w:rsidRPr="00823294">
          <w:rPr>
            <w:rFonts w:eastAsia="Calibri"/>
            <w:sz w:val="28"/>
            <w:szCs w:val="28"/>
            <w:lang w:eastAsia="en-US"/>
          </w:rPr>
          <w:t>2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1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823294">
          <w:rPr>
            <w:rFonts w:eastAsia="Calibri"/>
            <w:sz w:val="28"/>
            <w:szCs w:val="28"/>
            <w:lang w:eastAsia="en-US"/>
          </w:rPr>
          <w:t>пунктах 1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823294">
          <w:rPr>
            <w:rFonts w:eastAsia="Calibri"/>
            <w:sz w:val="28"/>
            <w:szCs w:val="28"/>
            <w:lang w:eastAsia="en-US"/>
          </w:rPr>
          <w:t>3 части 2 статьи 27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55"/>
      <w:bookmarkEnd w:id="3"/>
      <w:r w:rsidRPr="00823294">
        <w:rPr>
          <w:rFonts w:eastAsia="Calibri"/>
          <w:sz w:val="28"/>
          <w:szCs w:val="28"/>
          <w:lang w:eastAsia="en-US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70"/>
      <w:bookmarkEnd w:id="4"/>
      <w:r w:rsidRPr="00823294">
        <w:rPr>
          <w:rFonts w:eastAsia="Calibri"/>
          <w:sz w:val="28"/>
          <w:szCs w:val="28"/>
          <w:lang w:eastAsia="en-US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71"/>
      <w:bookmarkEnd w:id="5"/>
      <w:r w:rsidRPr="00823294">
        <w:rPr>
          <w:rFonts w:eastAsia="Calibri"/>
          <w:sz w:val="28"/>
          <w:szCs w:val="28"/>
          <w:lang w:eastAsia="en-US"/>
        </w:rPr>
        <w:t>11. При присвоении объекту адресации адреса или аннулировании его адреса Администрация обязана: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а) определить возможность присвоения объекту адресации адреса или аннулирования его адреса;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б) провести осмотр местонахождения объекта адресации (при необходимости);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13. Постановление Администрации о присвоении объекту адресации адреса принимается одновременно: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823294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1" w:history="1">
        <w:r w:rsidRPr="00823294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г) с утверждением проекта планировки территории;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д) с принятием решения о строительстве объекта адресации.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14. Постановление Администрации о присвоении объекту адресации адреса содержит: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присвоенный объекту адресации адрес;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реквизиты и наименования документов, на основании которых принято решение о присвоении адреса;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описание местоположения объекта адресации;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кадастровые номера, адреса и сведения об объектах недвижимости, из которых образуется объект адресации;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 w:rsidRPr="00823294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15. Постановление Администрации об аннулировании адреса объекта адресации содержит: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аннулируемый адрес объекта адресации;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уникальный номер аннулируемого адреса объекта адресации в государственном адресном реестре;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причину аннулирования адреса объекта адресации;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823294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105"/>
      <w:bookmarkEnd w:id="6"/>
      <w:r w:rsidRPr="00823294">
        <w:rPr>
          <w:rFonts w:eastAsia="Calibri"/>
          <w:sz w:val="28"/>
          <w:szCs w:val="28"/>
          <w:lang w:eastAsia="en-US"/>
        </w:rPr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ar108"/>
      <w:bookmarkEnd w:id="7"/>
      <w:r w:rsidRPr="00823294">
        <w:rPr>
          <w:rFonts w:eastAsia="Calibri"/>
          <w:sz w:val="28"/>
          <w:szCs w:val="28"/>
          <w:lang w:eastAsia="en-US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а) право хозяйственного ведения;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б) право оперативного управления;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в) право пожизненно наследуемого владения;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г) право постоянного (бессрочного) пользования.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20. Заявление составляется лицами, указанными в </w:t>
      </w:r>
      <w:hyperlink w:anchor="Par105" w:history="1">
        <w:r w:rsidRPr="00823294">
          <w:rPr>
            <w:rFonts w:eastAsia="Calibri"/>
            <w:sz w:val="28"/>
            <w:szCs w:val="28"/>
            <w:lang w:eastAsia="en-US"/>
          </w:rPr>
          <w:t>пункте 19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ar114"/>
      <w:bookmarkEnd w:id="8"/>
      <w:r w:rsidRPr="00823294">
        <w:rPr>
          <w:rFonts w:eastAsia="Calibri"/>
          <w:sz w:val="28"/>
          <w:szCs w:val="28"/>
          <w:lang w:eastAsia="en-US"/>
        </w:rPr>
        <w:t xml:space="preserve">21. С заявлением вправе обратиться </w:t>
      </w:r>
      <w:hyperlink r:id="rId12" w:history="1">
        <w:r w:rsidRPr="00823294">
          <w:rPr>
            <w:rFonts w:eastAsia="Calibri"/>
            <w:sz w:val="28"/>
            <w:szCs w:val="28"/>
            <w:lang w:eastAsia="en-US"/>
          </w:rPr>
          <w:t>представители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823294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823294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23.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5" w:history="1">
        <w:r w:rsidRPr="00823294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24. Заявление подписывается заявителем либо представителем заявителя.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823294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128"/>
      <w:bookmarkEnd w:id="9"/>
      <w:r w:rsidRPr="00823294">
        <w:rPr>
          <w:rFonts w:eastAsia="Calibri"/>
          <w:sz w:val="28"/>
          <w:szCs w:val="28"/>
          <w:lang w:eastAsia="en-US"/>
        </w:rPr>
        <w:t>26. К заявлению прилагаются следующие документы: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а) правоустанавливающие и (или) правоудостоверяющие документы на объект (объекты) адресации;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823294">
          <w:rPr>
            <w:rFonts w:eastAsia="Calibri"/>
            <w:sz w:val="28"/>
            <w:szCs w:val="28"/>
            <w:lang w:eastAsia="en-US"/>
          </w:rPr>
          <w:t>подпункте «а» пункта 14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Правил, утвержденных постановлением Правительства Российской Федерации № 1221);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823294">
          <w:rPr>
            <w:rFonts w:eastAsia="Calibri"/>
            <w:sz w:val="28"/>
            <w:szCs w:val="28"/>
            <w:lang w:eastAsia="en-US"/>
          </w:rPr>
          <w:t>подпункте «б» пункта 14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Правил, утвержденных постановлением Правительства Российской Федерации № 1221).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27. Администрация запрашивает документы, указанные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Pr="00823294">
        <w:rPr>
          <w:rFonts w:eastAsia="Calibri"/>
          <w:sz w:val="28"/>
          <w:szCs w:val="28"/>
          <w:lang w:eastAsia="en-US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пункте 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Документы, указанные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пункте 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28. Если заявление и документы, указанные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пункте 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В случае если заявление и документы, указанные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пункте 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Получение заявления и документов, указанных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пункте 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Сообщение о получении заявления и документов, указанных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пункте 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Сообщение о получении заявления и документов, указанных в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пункте 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Par146"/>
      <w:bookmarkEnd w:id="10"/>
      <w:r w:rsidRPr="00823294">
        <w:rPr>
          <w:rFonts w:eastAsia="Calibri"/>
          <w:sz w:val="28"/>
          <w:szCs w:val="28"/>
          <w:lang w:eastAsia="en-US"/>
        </w:rP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Par147"/>
      <w:bookmarkEnd w:id="11"/>
      <w:r w:rsidRPr="00823294">
        <w:rPr>
          <w:rFonts w:eastAsia="Calibri"/>
          <w:sz w:val="28"/>
          <w:szCs w:val="28"/>
          <w:lang w:eastAsia="en-US"/>
        </w:rPr>
        <w:t xml:space="preserve">30. В случае представления заявления через многофункциональный центр срок, указанный в </w:t>
      </w:r>
      <w:hyperlink w:anchor="Par146" w:history="1">
        <w:r w:rsidRPr="00823294">
          <w:rPr>
            <w:rFonts w:eastAsia="Calibri"/>
            <w:sz w:val="28"/>
            <w:szCs w:val="28"/>
            <w:lang w:eastAsia="en-US"/>
          </w:rPr>
          <w:t>пункте 29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hyperlink w:anchor="Par128" w:history="1">
        <w:r w:rsidRPr="00823294">
          <w:rPr>
            <w:rFonts w:eastAsia="Calibri"/>
            <w:sz w:val="28"/>
            <w:szCs w:val="28"/>
            <w:lang w:eastAsia="en-US"/>
          </w:rPr>
          <w:t>26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 (при их наличии), в Администрацию.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823294">
          <w:rPr>
            <w:rFonts w:eastAsia="Calibri"/>
            <w:sz w:val="28"/>
            <w:szCs w:val="28"/>
            <w:lang w:eastAsia="en-US"/>
          </w:rPr>
          <w:t xml:space="preserve">пунктах </w:t>
        </w:r>
      </w:hyperlink>
      <w:r w:rsidRPr="00823294">
        <w:rPr>
          <w:rFonts w:eastAsia="Calibri"/>
          <w:sz w:val="28"/>
          <w:szCs w:val="28"/>
          <w:lang w:eastAsia="en-US"/>
        </w:rPr>
        <w:t>29 и 30 настоящих Правил;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823294">
          <w:rPr>
            <w:rFonts w:eastAsia="Calibri"/>
            <w:sz w:val="28"/>
            <w:szCs w:val="28"/>
            <w:lang w:eastAsia="en-US"/>
          </w:rPr>
          <w:t xml:space="preserve">пунктами </w:t>
        </w:r>
      </w:hyperlink>
      <w:r w:rsidRPr="00823294">
        <w:rPr>
          <w:rFonts w:eastAsia="Calibri"/>
          <w:sz w:val="28"/>
          <w:szCs w:val="28"/>
          <w:lang w:eastAsia="en-US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823294">
          <w:rPr>
            <w:rFonts w:eastAsia="Calibri"/>
            <w:sz w:val="28"/>
            <w:szCs w:val="28"/>
            <w:lang w:eastAsia="en-US"/>
          </w:rPr>
          <w:t xml:space="preserve">пунктами </w:t>
        </w:r>
      </w:hyperlink>
      <w:r w:rsidRPr="00823294">
        <w:rPr>
          <w:rFonts w:eastAsia="Calibri"/>
          <w:sz w:val="28"/>
          <w:szCs w:val="28"/>
          <w:lang w:eastAsia="en-US"/>
        </w:rPr>
        <w:t>29 и 30 настоящих Правил.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Par152"/>
      <w:bookmarkEnd w:id="12"/>
      <w:r w:rsidRPr="00823294">
        <w:rPr>
          <w:rFonts w:eastAsia="Calibri"/>
          <w:sz w:val="28"/>
          <w:szCs w:val="28"/>
          <w:lang w:eastAsia="en-US"/>
        </w:rPr>
        <w:t>32. В присвоении объекту адресации адреса или аннулировании его адреса может быть отказано в случаях, если: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823294">
          <w:rPr>
            <w:rFonts w:eastAsia="Calibri"/>
            <w:sz w:val="28"/>
            <w:szCs w:val="28"/>
            <w:lang w:eastAsia="en-US"/>
          </w:rPr>
          <w:t xml:space="preserve">пунктах </w:t>
        </w:r>
      </w:hyperlink>
      <w:r w:rsidRPr="00823294">
        <w:rPr>
          <w:rFonts w:eastAsia="Calibri"/>
          <w:sz w:val="28"/>
          <w:szCs w:val="28"/>
          <w:lang w:eastAsia="en-US"/>
        </w:rPr>
        <w:t>19 и 21 настоящих Правил;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823294">
          <w:rPr>
            <w:rFonts w:eastAsia="Calibri"/>
            <w:sz w:val="28"/>
            <w:szCs w:val="28"/>
            <w:lang w:eastAsia="en-US"/>
          </w:rPr>
          <w:t>пунктах 5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, </w:t>
      </w:r>
      <w:hyperlink w:anchor="Par55" w:history="1">
        <w:r w:rsidRPr="00823294">
          <w:rPr>
            <w:rFonts w:eastAsia="Calibri"/>
            <w:sz w:val="28"/>
            <w:szCs w:val="28"/>
            <w:lang w:eastAsia="en-US"/>
          </w:rPr>
          <w:t>8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- </w:t>
      </w:r>
      <w:hyperlink w:anchor="Par67" w:history="1">
        <w:r w:rsidRPr="00823294">
          <w:rPr>
            <w:rFonts w:eastAsia="Calibri"/>
            <w:sz w:val="28"/>
            <w:szCs w:val="28"/>
            <w:lang w:eastAsia="en-US"/>
          </w:rPr>
          <w:t>11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и </w:t>
      </w:r>
      <w:hyperlink w:anchor="Par70" w:history="1">
        <w:r w:rsidRPr="00823294">
          <w:rPr>
            <w:rFonts w:eastAsia="Calibri"/>
            <w:sz w:val="28"/>
            <w:szCs w:val="28"/>
            <w:lang w:eastAsia="en-US"/>
          </w:rPr>
          <w:t>14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- </w:t>
      </w:r>
      <w:hyperlink w:anchor="Par77" w:history="1">
        <w:r w:rsidRPr="00823294">
          <w:rPr>
            <w:rFonts w:eastAsia="Calibri"/>
            <w:sz w:val="28"/>
            <w:szCs w:val="28"/>
            <w:lang w:eastAsia="en-US"/>
          </w:rPr>
          <w:t>18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Правил, утвержденных постановлением Правительства Российской Федерации № 1221.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823294">
          <w:rPr>
            <w:rFonts w:eastAsia="Calibri"/>
            <w:sz w:val="28"/>
            <w:szCs w:val="28"/>
            <w:lang w:eastAsia="en-US"/>
          </w:rPr>
          <w:t>пункта 32</w:t>
        </w:r>
      </w:hyperlink>
      <w:r w:rsidRPr="00823294">
        <w:rPr>
          <w:rFonts w:eastAsia="Calibri"/>
          <w:sz w:val="28"/>
          <w:szCs w:val="28"/>
          <w:lang w:eastAsia="en-US"/>
        </w:rPr>
        <w:t xml:space="preserve"> настоящих Правил, являющиеся основанием для принятия такого решения.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294">
        <w:rPr>
          <w:rFonts w:eastAsia="Calibri"/>
          <w:sz w:val="28"/>
          <w:szCs w:val="28"/>
          <w:lang w:eastAsia="en-US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23294" w:rsidRPr="00823294" w:rsidRDefault="00823294" w:rsidP="008232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13" w:name="Par163"/>
      <w:bookmarkEnd w:id="13"/>
      <w:r w:rsidRPr="00823294">
        <w:rPr>
          <w:rFonts w:eastAsia="Calibri"/>
          <w:sz w:val="28"/>
          <w:szCs w:val="28"/>
          <w:lang w:eastAsia="en-US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 w:rsidRPr="00823294">
        <w:rPr>
          <w:rFonts w:eastAsia="Calibri"/>
          <w:sz w:val="28"/>
          <w:szCs w:val="28"/>
          <w:lang w:val="en-US" w:eastAsia="en-US"/>
        </w:rPr>
        <w:t>III</w:t>
      </w:r>
      <w:r w:rsidRPr="00823294">
        <w:rPr>
          <w:rFonts w:eastAsia="Calibri"/>
          <w:sz w:val="28"/>
          <w:szCs w:val="28"/>
          <w:lang w:eastAsia="en-US"/>
        </w:rPr>
        <w:t xml:space="preserve"> и </w:t>
      </w:r>
      <w:r w:rsidRPr="00823294">
        <w:rPr>
          <w:rFonts w:eastAsia="Calibri"/>
          <w:sz w:val="28"/>
          <w:szCs w:val="28"/>
          <w:lang w:val="en-US" w:eastAsia="en-US"/>
        </w:rPr>
        <w:t>IV</w:t>
      </w:r>
      <w:r w:rsidRPr="00823294">
        <w:rPr>
          <w:rFonts w:eastAsia="Calibri"/>
          <w:sz w:val="28"/>
          <w:szCs w:val="28"/>
          <w:lang w:eastAsia="en-US"/>
        </w:rPr>
        <w:t xml:space="preserve"> Правил, утвержденных постановлением Правительства Российской Федерации № 1221.</w:t>
      </w:r>
    </w:p>
    <w:p w:rsidR="00D1636F" w:rsidRPr="00FF3E1A" w:rsidRDefault="00D1636F" w:rsidP="00FF3E1A">
      <w:pPr>
        <w:jc w:val="both"/>
        <w:rPr>
          <w:sz w:val="28"/>
          <w:szCs w:val="28"/>
        </w:rPr>
      </w:pPr>
    </w:p>
    <w:sectPr w:rsidR="00D1636F" w:rsidRPr="00FF3E1A" w:rsidSect="00FF3E1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2D" w:rsidRDefault="00B75C2D" w:rsidP="00D1636F">
      <w:r>
        <w:separator/>
      </w:r>
    </w:p>
  </w:endnote>
  <w:endnote w:type="continuationSeparator" w:id="0">
    <w:p w:rsidR="00B75C2D" w:rsidRDefault="00B75C2D" w:rsidP="00D1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2D" w:rsidRDefault="00B75C2D" w:rsidP="00D1636F">
      <w:r>
        <w:separator/>
      </w:r>
    </w:p>
  </w:footnote>
  <w:footnote w:type="continuationSeparator" w:id="0">
    <w:p w:rsidR="00B75C2D" w:rsidRDefault="00B75C2D" w:rsidP="00D1636F">
      <w:r>
        <w:continuationSeparator/>
      </w:r>
    </w:p>
  </w:footnote>
  <w:footnote w:id="1">
    <w:p w:rsidR="00823294" w:rsidRDefault="00823294" w:rsidP="00823294">
      <w:pPr>
        <w:pStyle w:val="a4"/>
      </w:pPr>
      <w:r w:rsidRPr="005F4CD3">
        <w:rPr>
          <w:rStyle w:val="a6"/>
        </w:rPr>
        <w:footnoteRef/>
      </w:r>
      <w:r w:rsidRPr="005F4CD3">
        <w:t xml:space="preserve"> Постановление Администрации о присвоении объекту адресации адреса </w:t>
      </w:r>
      <w:r>
        <w:t xml:space="preserve">может содержать </w:t>
      </w:r>
      <w:r w:rsidRPr="005F4CD3">
        <w:t xml:space="preserve">другие необходимые </w:t>
      </w:r>
      <w:r>
        <w:t xml:space="preserve">конкретные </w:t>
      </w:r>
      <w:r w:rsidRPr="005F4CD3">
        <w:t>сведения</w:t>
      </w:r>
    </w:p>
  </w:footnote>
  <w:footnote w:id="2">
    <w:p w:rsidR="00823294" w:rsidRPr="005F4CD3" w:rsidRDefault="00823294" w:rsidP="00823294">
      <w:pPr>
        <w:pStyle w:val="a4"/>
      </w:pPr>
      <w:r>
        <w:rPr>
          <w:rStyle w:val="a6"/>
        </w:rPr>
        <w:footnoteRef/>
      </w:r>
      <w:r>
        <w:t xml:space="preserve"> </w:t>
      </w:r>
      <w:r w:rsidRPr="005F4CD3">
        <w:t>Постановление Администрации о</w:t>
      </w:r>
      <w:r>
        <w:t>б аннулировании адреса</w:t>
      </w:r>
      <w:r w:rsidRPr="005F4CD3">
        <w:t xml:space="preserve"> объект</w:t>
      </w:r>
      <w:r>
        <w:t>а</w:t>
      </w:r>
      <w:r w:rsidRPr="005F4CD3">
        <w:t xml:space="preserve"> адресации </w:t>
      </w:r>
      <w:r>
        <w:t xml:space="preserve">может содержать </w:t>
      </w:r>
      <w:r w:rsidRPr="005F4CD3">
        <w:t xml:space="preserve">другие необходимые </w:t>
      </w:r>
      <w:r>
        <w:t xml:space="preserve">конкретные </w:t>
      </w:r>
      <w:r w:rsidRPr="005F4CD3">
        <w:t>сведения</w:t>
      </w:r>
    </w:p>
    <w:p w:rsidR="00823294" w:rsidRDefault="00823294" w:rsidP="0082329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73E"/>
    <w:multiLevelType w:val="hybridMultilevel"/>
    <w:tmpl w:val="138A0DC4"/>
    <w:lvl w:ilvl="0" w:tplc="D6340D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770F"/>
    <w:rsid w:val="0002634E"/>
    <w:rsid w:val="00082458"/>
    <w:rsid w:val="000D5191"/>
    <w:rsid w:val="000F6CB7"/>
    <w:rsid w:val="002172E1"/>
    <w:rsid w:val="0028770F"/>
    <w:rsid w:val="002F77B5"/>
    <w:rsid w:val="0031376B"/>
    <w:rsid w:val="00583876"/>
    <w:rsid w:val="005B2649"/>
    <w:rsid w:val="005E0D5C"/>
    <w:rsid w:val="00687919"/>
    <w:rsid w:val="00766984"/>
    <w:rsid w:val="0081713B"/>
    <w:rsid w:val="00823294"/>
    <w:rsid w:val="009C719F"/>
    <w:rsid w:val="00A9254E"/>
    <w:rsid w:val="00B17295"/>
    <w:rsid w:val="00B75C2D"/>
    <w:rsid w:val="00BA14BB"/>
    <w:rsid w:val="00C06583"/>
    <w:rsid w:val="00C70A6F"/>
    <w:rsid w:val="00D01504"/>
    <w:rsid w:val="00D1636F"/>
    <w:rsid w:val="00D25348"/>
    <w:rsid w:val="00DB0441"/>
    <w:rsid w:val="00E07696"/>
    <w:rsid w:val="00E20A24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3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1636F"/>
    <w:pPr>
      <w:snapToGrid w:val="0"/>
    </w:pPr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6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1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uiPriority w:val="99"/>
    <w:semiHidden/>
    <w:unhideWhenUsed/>
    <w:rsid w:val="00D163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A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3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1636F"/>
    <w:pPr>
      <w:snapToGrid w:val="0"/>
    </w:pPr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6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1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uiPriority w:val="99"/>
    <w:semiHidden/>
    <w:unhideWhenUsed/>
    <w:rsid w:val="00D163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A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Glukerson</cp:lastModifiedBy>
  <cp:revision>3</cp:revision>
  <cp:lastPrinted>2015-03-06T06:07:00Z</cp:lastPrinted>
  <dcterms:created xsi:type="dcterms:W3CDTF">2015-03-13T09:25:00Z</dcterms:created>
  <dcterms:modified xsi:type="dcterms:W3CDTF">2015-03-20T12:55:00Z</dcterms:modified>
</cp:coreProperties>
</file>